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C507E2" w:rsidRDefault="003154A2" w:rsidP="00CD7F8E">
      <w:pPr>
        <w:spacing w:before="120" w:after="120" w:line="360" w:lineRule="auto"/>
        <w:jc w:val="center"/>
        <w:rPr>
          <w:rFonts w:ascii="Arial" w:hAnsi="Arial" w:cs="Arial"/>
          <w:sz w:val="28"/>
          <w:szCs w:val="28"/>
        </w:rPr>
      </w:pPr>
      <w:r w:rsidRPr="00C507E2">
        <w:rPr>
          <w:rFonts w:ascii="Arial" w:hAnsi="Arial" w:cs="Arial"/>
          <w:b/>
          <w:sz w:val="28"/>
          <w:szCs w:val="28"/>
        </w:rPr>
        <w:t xml:space="preserve">PROGRAMA </w:t>
      </w:r>
      <w:r w:rsidR="00382521" w:rsidRPr="00C507E2">
        <w:rPr>
          <w:rFonts w:ascii="Arial" w:hAnsi="Arial" w:cs="Arial"/>
          <w:b/>
          <w:sz w:val="28"/>
          <w:szCs w:val="28"/>
        </w:rPr>
        <w:t>45E</w:t>
      </w:r>
      <w:r w:rsidR="0055291D" w:rsidRPr="00C507E2">
        <w:rPr>
          <w:rFonts w:ascii="Arial" w:hAnsi="Arial" w:cs="Arial"/>
          <w:b/>
          <w:sz w:val="28"/>
          <w:szCs w:val="28"/>
        </w:rPr>
        <w:t>B</w:t>
      </w:r>
    </w:p>
    <w:p w:rsidR="003154A2" w:rsidRPr="00C507E2" w:rsidRDefault="000844A9" w:rsidP="003D67AF">
      <w:pPr>
        <w:spacing w:after="240" w:line="360" w:lineRule="auto"/>
        <w:jc w:val="center"/>
        <w:rPr>
          <w:rFonts w:ascii="Arial" w:hAnsi="Arial" w:cs="Arial"/>
          <w:b/>
          <w:sz w:val="26"/>
          <w:szCs w:val="26"/>
        </w:rPr>
      </w:pPr>
      <w:r w:rsidRPr="00C507E2">
        <w:rPr>
          <w:rFonts w:ascii="Arial" w:hAnsi="Arial" w:cs="Arial"/>
          <w:b/>
          <w:sz w:val="26"/>
          <w:szCs w:val="26"/>
        </w:rPr>
        <w:t>C</w:t>
      </w:r>
      <w:r w:rsidR="006806ED" w:rsidRPr="00C507E2">
        <w:rPr>
          <w:rFonts w:ascii="Arial" w:hAnsi="Arial" w:cs="Arial"/>
          <w:b/>
          <w:sz w:val="26"/>
          <w:szCs w:val="26"/>
        </w:rPr>
        <w:t>0</w:t>
      </w:r>
      <w:r w:rsidR="00382521" w:rsidRPr="00C507E2">
        <w:rPr>
          <w:rFonts w:ascii="Arial" w:hAnsi="Arial" w:cs="Arial"/>
          <w:b/>
          <w:sz w:val="26"/>
          <w:szCs w:val="26"/>
        </w:rPr>
        <w:t>5</w:t>
      </w:r>
      <w:r w:rsidR="006806ED" w:rsidRPr="00C507E2">
        <w:rPr>
          <w:rFonts w:ascii="Arial" w:hAnsi="Arial" w:cs="Arial"/>
          <w:b/>
          <w:sz w:val="26"/>
          <w:szCs w:val="26"/>
        </w:rPr>
        <w:t>.</w:t>
      </w:r>
      <w:r w:rsidRPr="00C507E2">
        <w:rPr>
          <w:rFonts w:ascii="Arial" w:hAnsi="Arial" w:cs="Arial"/>
          <w:b/>
          <w:sz w:val="26"/>
          <w:szCs w:val="26"/>
        </w:rPr>
        <w:t>I</w:t>
      </w:r>
      <w:r w:rsidR="006806ED" w:rsidRPr="00C507E2">
        <w:rPr>
          <w:rFonts w:ascii="Arial" w:hAnsi="Arial" w:cs="Arial"/>
          <w:b/>
          <w:sz w:val="26"/>
          <w:szCs w:val="26"/>
        </w:rPr>
        <w:t>0</w:t>
      </w:r>
      <w:r w:rsidRPr="00C507E2">
        <w:rPr>
          <w:rFonts w:ascii="Arial" w:hAnsi="Arial" w:cs="Arial"/>
          <w:b/>
          <w:sz w:val="26"/>
          <w:szCs w:val="26"/>
        </w:rPr>
        <w:t>2 SEGUIMIENTO Y RESTAURACIÓN DE ECOSISTEMAS FLUVIALES, RECUPERACIÓN DE ACUÍFEROS Y MITIGACIÓN DEL RIESGO DE INUNDACIÓN</w:t>
      </w:r>
    </w:p>
    <w:p w:rsidR="00517824" w:rsidRPr="00E12C2C" w:rsidRDefault="00517824" w:rsidP="00CD7F8E">
      <w:pPr>
        <w:spacing w:before="120" w:after="120" w:line="360" w:lineRule="auto"/>
        <w:rPr>
          <w:rFonts w:ascii="Arial" w:hAnsi="Arial" w:cs="Arial"/>
          <w:b/>
          <w:sz w:val="22"/>
          <w:szCs w:val="22"/>
        </w:rPr>
      </w:pPr>
      <w:r w:rsidRPr="00E12C2C">
        <w:rPr>
          <w:rFonts w:ascii="Arial" w:hAnsi="Arial" w:cs="Arial"/>
          <w:b/>
          <w:sz w:val="22"/>
          <w:szCs w:val="22"/>
        </w:rPr>
        <w:t xml:space="preserve">1. </w:t>
      </w:r>
      <w:r w:rsidR="00C507E2">
        <w:rPr>
          <w:rFonts w:ascii="Arial" w:hAnsi="Arial" w:cs="Arial"/>
          <w:b/>
          <w:sz w:val="22"/>
          <w:szCs w:val="22"/>
        </w:rPr>
        <w:t>DENOMINACIÓN DEL COMPONENTE</w:t>
      </w:r>
    </w:p>
    <w:p w:rsidR="000844A9" w:rsidRPr="00E12C2C" w:rsidRDefault="00382521" w:rsidP="00CD7F8E">
      <w:pPr>
        <w:spacing w:before="120" w:after="120" w:line="360" w:lineRule="auto"/>
        <w:ind w:firstLine="708"/>
        <w:jc w:val="both"/>
        <w:rPr>
          <w:rFonts w:ascii="Arial" w:hAnsi="Arial" w:cs="Arial"/>
          <w:sz w:val="22"/>
          <w:szCs w:val="22"/>
        </w:rPr>
      </w:pPr>
      <w:r w:rsidRPr="00E12C2C">
        <w:rPr>
          <w:rFonts w:ascii="Arial" w:hAnsi="Arial" w:cs="Arial"/>
          <w:sz w:val="22"/>
          <w:szCs w:val="22"/>
        </w:rPr>
        <w:t>Preservación del litoral y recursos hídricos</w:t>
      </w:r>
      <w:r w:rsidR="000844A9" w:rsidRPr="00E12C2C">
        <w:rPr>
          <w:rFonts w:ascii="Arial" w:hAnsi="Arial" w:cs="Arial"/>
          <w:sz w:val="22"/>
          <w:szCs w:val="22"/>
        </w:rPr>
        <w:t>.</w:t>
      </w:r>
    </w:p>
    <w:p w:rsidR="000844A9" w:rsidRPr="00E12C2C" w:rsidRDefault="00517824" w:rsidP="00CD7F8E">
      <w:pPr>
        <w:spacing w:before="120" w:after="120" w:line="360" w:lineRule="auto"/>
        <w:rPr>
          <w:rFonts w:ascii="Arial" w:hAnsi="Arial" w:cs="Arial"/>
          <w:b/>
          <w:sz w:val="22"/>
          <w:szCs w:val="22"/>
        </w:rPr>
      </w:pPr>
      <w:r w:rsidRPr="00E12C2C">
        <w:rPr>
          <w:rFonts w:ascii="Arial" w:hAnsi="Arial" w:cs="Arial"/>
          <w:b/>
          <w:sz w:val="22"/>
          <w:szCs w:val="22"/>
        </w:rPr>
        <w:t xml:space="preserve">2. </w:t>
      </w:r>
      <w:r w:rsidR="000844A9" w:rsidRPr="00E12C2C">
        <w:rPr>
          <w:rFonts w:ascii="Arial" w:hAnsi="Arial" w:cs="Arial"/>
          <w:b/>
          <w:sz w:val="22"/>
          <w:szCs w:val="22"/>
        </w:rPr>
        <w:t>DESCRIPCIÓN GENERAL DEL COMPONENTE</w:t>
      </w:r>
    </w:p>
    <w:p w:rsidR="00517824" w:rsidRPr="00E12C2C" w:rsidRDefault="00382521" w:rsidP="00CD7F8E">
      <w:pPr>
        <w:spacing w:before="120" w:after="120" w:line="360" w:lineRule="auto"/>
        <w:ind w:firstLine="708"/>
        <w:jc w:val="both"/>
        <w:rPr>
          <w:rFonts w:ascii="Arial" w:hAnsi="Arial" w:cs="Arial"/>
          <w:sz w:val="22"/>
          <w:szCs w:val="22"/>
        </w:rPr>
      </w:pPr>
      <w:r w:rsidRPr="00E12C2C">
        <w:rPr>
          <w:rFonts w:ascii="Arial" w:hAnsi="Arial" w:cs="Arial"/>
          <w:sz w:val="22"/>
          <w:szCs w:val="22"/>
        </w:rPr>
        <w:t xml:space="preserve">El componente 5 </w:t>
      </w:r>
      <w:r w:rsidRPr="006806ED">
        <w:rPr>
          <w:rFonts w:ascii="Arial" w:hAnsi="Arial" w:cs="Arial"/>
          <w:sz w:val="22"/>
          <w:szCs w:val="22"/>
        </w:rPr>
        <w:t>del PRTR pretende por un lado, la preservación del litoral mediante la implantación de la política de adaptación de la costa a los efectos del cambio climático, la Implementación de las Estrategias Marinas, y la aprobación y puesta en marcha de los Planes de Ordenación del Espacio Marítimo, y por otro lado, la adecuada gestión de los recursos hídricos mediante la potenciación de la política del agua para desarrollar las líneas estratégicas establecidas por el MITECO en tres ámbitos: el de la planificación hidrológica para organizar todas las actividades; el normativo para introducir las reformas precisas para desarrollar la nueva política del agua; y por último, el de las inversiones para materializar en el territorio la política desplegada. Además, y como elemento soporte a las</w:t>
      </w:r>
      <w:r w:rsidRPr="00E12C2C">
        <w:rPr>
          <w:rFonts w:ascii="Arial" w:hAnsi="Arial" w:cs="Arial"/>
          <w:sz w:val="22"/>
          <w:szCs w:val="22"/>
        </w:rPr>
        <w:t xml:space="preserve"> políticas de agua, se pretende la digitalización y mejora en los procesos de observación y predicción meteorológica para la mejora de las proyecciones climáticas y para el seguimiento del cambio climático (detección de tendencias e identificación de impactos).</w:t>
      </w:r>
    </w:p>
    <w:p w:rsidR="000844A9" w:rsidRPr="00E12C2C" w:rsidRDefault="00517824" w:rsidP="00CD7F8E">
      <w:pPr>
        <w:spacing w:before="120" w:after="120" w:line="360" w:lineRule="auto"/>
        <w:rPr>
          <w:rFonts w:ascii="Arial" w:hAnsi="Arial" w:cs="Arial"/>
          <w:b/>
          <w:sz w:val="22"/>
          <w:szCs w:val="22"/>
        </w:rPr>
      </w:pPr>
      <w:r w:rsidRPr="00E12C2C">
        <w:rPr>
          <w:rFonts w:ascii="Arial" w:hAnsi="Arial" w:cs="Arial"/>
          <w:b/>
          <w:sz w:val="22"/>
          <w:szCs w:val="22"/>
        </w:rPr>
        <w:t xml:space="preserve">3. </w:t>
      </w:r>
      <w:r w:rsidR="000844A9" w:rsidRPr="00E12C2C">
        <w:rPr>
          <w:rFonts w:ascii="Arial" w:hAnsi="Arial" w:cs="Arial"/>
          <w:b/>
          <w:sz w:val="22"/>
          <w:szCs w:val="22"/>
        </w:rPr>
        <w:t>PRINCIPALES OBJETIVOS DEL COMPONENTE</w:t>
      </w:r>
    </w:p>
    <w:p w:rsidR="00382521" w:rsidRPr="00E12C2C" w:rsidRDefault="00382521" w:rsidP="00CD7F8E">
      <w:pPr>
        <w:spacing w:before="120" w:after="120" w:line="360" w:lineRule="auto"/>
        <w:ind w:firstLine="708"/>
        <w:jc w:val="both"/>
        <w:rPr>
          <w:rFonts w:ascii="Arial" w:hAnsi="Arial" w:cs="Arial"/>
          <w:sz w:val="22"/>
          <w:szCs w:val="22"/>
        </w:rPr>
      </w:pPr>
      <w:r w:rsidRPr="00E12C2C">
        <w:rPr>
          <w:rFonts w:ascii="Arial" w:hAnsi="Arial" w:cs="Arial"/>
          <w:sz w:val="22"/>
          <w:szCs w:val="22"/>
        </w:rPr>
        <w:t>Dentro de la gestión de recursos hídricos, los objetivos fijados en el PRTR que afectan a la inversión del programa son:</w:t>
      </w:r>
    </w:p>
    <w:p w:rsidR="0055291D" w:rsidRPr="00E12C2C" w:rsidRDefault="0055291D" w:rsidP="00C507E2">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4F4EFC">
        <w:rPr>
          <w:rFonts w:ascii="Arial" w:hAnsi="Arial" w:cs="Arial"/>
          <w:sz w:val="22"/>
          <w:szCs w:val="22"/>
        </w:rPr>
        <w:t>Mejora de la planificación y gestión del agua</w:t>
      </w:r>
      <w:r w:rsidRPr="00E12C2C">
        <w:rPr>
          <w:rFonts w:ascii="Arial" w:hAnsi="Arial" w:cs="Arial"/>
          <w:sz w:val="22"/>
          <w:szCs w:val="22"/>
        </w:rPr>
        <w:t>: con base en los planes hidrológicos de cuenca de tercer ciclo, los planes de gestión del riesgo de inundación de segundo ciclo y los planes especiales de sequía.</w:t>
      </w:r>
    </w:p>
    <w:p w:rsidR="0055291D" w:rsidRPr="00E12C2C" w:rsidRDefault="0055291D" w:rsidP="00C507E2">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4F4EFC">
        <w:rPr>
          <w:rFonts w:ascii="Arial" w:hAnsi="Arial" w:cs="Arial"/>
          <w:sz w:val="22"/>
          <w:szCs w:val="22"/>
        </w:rPr>
        <w:t>Gestión y control del Dominio Público Hidráulico</w:t>
      </w:r>
      <w:r w:rsidRPr="00E12C2C">
        <w:rPr>
          <w:rFonts w:ascii="Arial" w:hAnsi="Arial" w:cs="Arial"/>
          <w:sz w:val="22"/>
          <w:szCs w:val="22"/>
        </w:rPr>
        <w:t>: control y vigilancia de los usos del agua; mejora de los programas de seguimiento del estado de las masas de aguas, en especial de las subterráneas; y desarrollo de los sistemas de alerta y previsión de avenidas (</w:t>
      </w:r>
      <w:proofErr w:type="spellStart"/>
      <w:r w:rsidRPr="00E12C2C">
        <w:rPr>
          <w:rFonts w:ascii="Arial" w:hAnsi="Arial" w:cs="Arial"/>
          <w:sz w:val="22"/>
          <w:szCs w:val="22"/>
        </w:rPr>
        <w:t>SAIHs</w:t>
      </w:r>
      <w:proofErr w:type="spellEnd"/>
      <w:r w:rsidRPr="00E12C2C">
        <w:rPr>
          <w:rFonts w:ascii="Arial" w:hAnsi="Arial" w:cs="Arial"/>
          <w:sz w:val="22"/>
          <w:szCs w:val="22"/>
        </w:rPr>
        <w:t>).</w:t>
      </w:r>
    </w:p>
    <w:p w:rsidR="0055291D" w:rsidRPr="00E12C2C" w:rsidRDefault="0055291D" w:rsidP="00C507E2">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4F4EFC">
        <w:rPr>
          <w:rFonts w:ascii="Arial" w:hAnsi="Arial" w:cs="Arial"/>
          <w:sz w:val="22"/>
          <w:szCs w:val="22"/>
        </w:rPr>
        <w:lastRenderedPageBreak/>
        <w:t>Provisión y mejora de infraestructuras ambientales</w:t>
      </w:r>
      <w:r w:rsidRPr="00E12C2C">
        <w:rPr>
          <w:rFonts w:ascii="Arial" w:hAnsi="Arial" w:cs="Arial"/>
          <w:sz w:val="22"/>
          <w:szCs w:val="22"/>
        </w:rPr>
        <w:t>: materialización de las medidas programadas en la planificación hidrológica para alcanzar los objetivos ambientales en las masas de agua superficial y subterránea en cumplimiento del acervo comunitario y en concreto de la Directiva Marco del Agua y de la Directiva 91/271/CEE, sobre tratamiento de aguas residuales urbanas.</w:t>
      </w:r>
    </w:p>
    <w:p w:rsidR="0055291D" w:rsidRPr="00E12C2C" w:rsidRDefault="0055291D" w:rsidP="00C507E2">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4F4EFC">
        <w:rPr>
          <w:rFonts w:ascii="Arial" w:hAnsi="Arial" w:cs="Arial"/>
          <w:sz w:val="22"/>
          <w:szCs w:val="22"/>
        </w:rPr>
        <w:t>Restauración de ecosistemas y protección de la biodiversidad</w:t>
      </w:r>
      <w:r w:rsidRPr="00E12C2C">
        <w:rPr>
          <w:rFonts w:ascii="Arial" w:hAnsi="Arial" w:cs="Arial"/>
          <w:sz w:val="22"/>
          <w:szCs w:val="22"/>
        </w:rPr>
        <w:t>: soluciones integradas de restauración que conlleven una recuperación del espacio fluvial mediante soluciones basadas en la naturaleza, así como la circulación de un régimen de caudales ecológicos coherente con la morfología fluvial recuperada, régimen que no impida el logro del buen estado de los ríos.</w:t>
      </w:r>
    </w:p>
    <w:p w:rsidR="00517824" w:rsidRPr="00E12C2C" w:rsidRDefault="0055291D" w:rsidP="00C507E2">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4F4EFC">
        <w:rPr>
          <w:rFonts w:ascii="Arial" w:hAnsi="Arial" w:cs="Arial"/>
          <w:sz w:val="22"/>
          <w:szCs w:val="22"/>
        </w:rPr>
        <w:t>Mejora de la situación hídrica de las aguas subterráneas y recuperación de los acuíferos</w:t>
      </w:r>
      <w:r w:rsidRPr="00E12C2C">
        <w:rPr>
          <w:rFonts w:ascii="Arial" w:hAnsi="Arial" w:cs="Arial"/>
          <w:sz w:val="22"/>
          <w:szCs w:val="22"/>
        </w:rPr>
        <w:t>: se pretende revertir las tendencias indeseadas en determinadas masas de agua subterránea claramente afectadas por las presiones extractivas y la contaminación de sus aguas. En particular se tratará de hacer frente a estos problemas en las cuencas del Sureste de España.</w:t>
      </w:r>
    </w:p>
    <w:p w:rsidR="000844A9" w:rsidRPr="00E12C2C" w:rsidRDefault="00517824" w:rsidP="00CD7F8E">
      <w:pPr>
        <w:spacing w:before="120" w:after="120" w:line="360" w:lineRule="auto"/>
        <w:rPr>
          <w:rFonts w:ascii="Arial" w:hAnsi="Arial" w:cs="Arial"/>
          <w:b/>
          <w:sz w:val="22"/>
          <w:szCs w:val="22"/>
        </w:rPr>
      </w:pPr>
      <w:r w:rsidRPr="00E12C2C">
        <w:rPr>
          <w:rFonts w:ascii="Arial" w:hAnsi="Arial" w:cs="Arial"/>
          <w:b/>
          <w:sz w:val="22"/>
          <w:szCs w:val="22"/>
        </w:rPr>
        <w:t xml:space="preserve">4. </w:t>
      </w:r>
      <w:r w:rsidR="000844A9" w:rsidRPr="00E12C2C">
        <w:rPr>
          <w:rFonts w:ascii="Arial" w:hAnsi="Arial" w:cs="Arial"/>
          <w:b/>
          <w:sz w:val="22"/>
          <w:szCs w:val="22"/>
        </w:rPr>
        <w:t>DESCRIPCIÓN DE LA INVERSIÓN</w:t>
      </w:r>
    </w:p>
    <w:p w:rsidR="00382521" w:rsidRPr="00E12C2C" w:rsidRDefault="00382521" w:rsidP="00CD7F8E">
      <w:pPr>
        <w:spacing w:before="120" w:after="120" w:line="360" w:lineRule="auto"/>
        <w:ind w:firstLine="708"/>
        <w:jc w:val="both"/>
        <w:rPr>
          <w:rFonts w:ascii="Arial" w:hAnsi="Arial" w:cs="Arial"/>
          <w:sz w:val="22"/>
          <w:szCs w:val="22"/>
        </w:rPr>
      </w:pPr>
      <w:r w:rsidRPr="00E12C2C">
        <w:rPr>
          <w:rFonts w:ascii="Arial" w:hAnsi="Arial" w:cs="Arial"/>
          <w:sz w:val="22"/>
          <w:szCs w:val="22"/>
        </w:rPr>
        <w:t>Esta inversión engloba a tres tipologías de actuaciones diferenciadas:</w:t>
      </w:r>
    </w:p>
    <w:p w:rsidR="00D559DC" w:rsidRPr="00E12C2C" w:rsidRDefault="0055291D" w:rsidP="008C19AA">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4EFC">
        <w:rPr>
          <w:rFonts w:ascii="Arial" w:hAnsi="Arial" w:cs="Arial"/>
          <w:sz w:val="22"/>
          <w:szCs w:val="22"/>
        </w:rPr>
        <w:t>Seguimiento y restauración de ecosistemas fluviales y Reservas Naturales Fluviales</w:t>
      </w:r>
      <w:r w:rsidRPr="00E12C2C">
        <w:rPr>
          <w:rFonts w:ascii="Arial" w:hAnsi="Arial" w:cs="Arial"/>
          <w:sz w:val="22"/>
          <w:szCs w:val="22"/>
        </w:rPr>
        <w:t xml:space="preserve">: actuaciones concretas dirigidas a la restauración del espacio fluvial, a la ampliación de las redes de seguimiento y a la mejora de los inventarios de las presiones </w:t>
      </w:r>
      <w:proofErr w:type="spellStart"/>
      <w:r w:rsidRPr="00E12C2C">
        <w:rPr>
          <w:rFonts w:ascii="Arial" w:hAnsi="Arial" w:cs="Arial"/>
          <w:sz w:val="22"/>
          <w:szCs w:val="22"/>
        </w:rPr>
        <w:t>hidromorfológicas</w:t>
      </w:r>
      <w:proofErr w:type="spellEnd"/>
      <w:r w:rsidRPr="00E12C2C">
        <w:rPr>
          <w:rFonts w:ascii="Arial" w:hAnsi="Arial" w:cs="Arial"/>
          <w:sz w:val="22"/>
          <w:szCs w:val="22"/>
        </w:rPr>
        <w:t xml:space="preserve"> que lo amenazan,</w:t>
      </w:r>
      <w:r w:rsidRPr="00E12C2C">
        <w:t xml:space="preserve"> </w:t>
      </w:r>
      <w:r w:rsidRPr="00E12C2C">
        <w:rPr>
          <w:rFonts w:ascii="Arial" w:hAnsi="Arial" w:cs="Arial"/>
          <w:sz w:val="22"/>
          <w:szCs w:val="22"/>
        </w:rPr>
        <w:t>constituyen medidas básicas necesarias para alcanzar los objetivos ambientales exigidos por la Directiva Marco del Agua. Además, se han seleccionado actuaciones para la implantación de medidas de conservación y restauración en las reservas naturales fluviales, dirigidas a considerar esta red de espacios fluviales como lugares de referencia para establecer patrones de evaluación del estado de las masas de agua fluviales y estudiar variaciones a largo plazo, como las derivadas del cambio climático</w:t>
      </w:r>
    </w:p>
    <w:p w:rsidR="00D559DC" w:rsidRPr="00E12C2C" w:rsidRDefault="00D559DC" w:rsidP="008C19AA">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4EFC">
        <w:rPr>
          <w:rFonts w:ascii="Arial" w:hAnsi="Arial" w:cs="Arial"/>
          <w:sz w:val="22"/>
          <w:szCs w:val="22"/>
        </w:rPr>
        <w:t>Actuaciones para mitigar el riesgo de inundación</w:t>
      </w:r>
      <w:r w:rsidRPr="00E12C2C">
        <w:rPr>
          <w:rFonts w:ascii="Arial" w:hAnsi="Arial" w:cs="Arial"/>
          <w:sz w:val="22"/>
          <w:szCs w:val="22"/>
        </w:rPr>
        <w:t>: actuaciones dirigidas a la mitigación del riesgo de inundación a través de medidas que preferentemente serán de retención natural y que contribuirán al logro de los objetivos ambientales exigidos para 2027 por la Directiva Marco del Agua. Dadas las sinergias que existen con la restauración de ríos, se ha planificado un plan de ayudas para actuaciones de protección y adaptación al riesgo de inundación e integración ambiental en núcleos urbanos.</w:t>
      </w:r>
    </w:p>
    <w:p w:rsidR="00382521" w:rsidRPr="00E12C2C" w:rsidRDefault="00D559DC" w:rsidP="008C19AA">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4EFC">
        <w:rPr>
          <w:rFonts w:ascii="Arial" w:hAnsi="Arial" w:cs="Arial"/>
          <w:sz w:val="22"/>
          <w:szCs w:val="22"/>
        </w:rPr>
        <w:lastRenderedPageBreak/>
        <w:t>Medidas de reducción de la extracción de agua subterránea (recuperación de acuíferos) con la aplicación de recursos alternativos</w:t>
      </w:r>
      <w:r w:rsidRPr="00E12C2C">
        <w:rPr>
          <w:rFonts w:ascii="Arial" w:hAnsi="Arial" w:cs="Arial"/>
          <w:sz w:val="22"/>
          <w:szCs w:val="22"/>
        </w:rPr>
        <w:t xml:space="preserve">: actuaciones para el cambio de tendencia en la sobreexplotación de los recursos subterráneos mediante la aplicación de recursos alternativos (como, por ejemplo, la desalación). En esencia son medidas que posibilitarán la reducción de las extracciones que se registran algunas masas de agua subterránea –en particular las que amenazan al espacio de </w:t>
      </w:r>
      <w:proofErr w:type="spellStart"/>
      <w:r w:rsidRPr="00E12C2C">
        <w:rPr>
          <w:rFonts w:ascii="Arial" w:hAnsi="Arial" w:cs="Arial"/>
          <w:sz w:val="22"/>
          <w:szCs w:val="22"/>
        </w:rPr>
        <w:t>Doñana</w:t>
      </w:r>
      <w:proofErr w:type="spellEnd"/>
      <w:r w:rsidRPr="00E12C2C">
        <w:rPr>
          <w:rFonts w:ascii="Arial" w:hAnsi="Arial" w:cs="Arial"/>
          <w:sz w:val="22"/>
          <w:szCs w:val="22"/>
        </w:rPr>
        <w:t xml:space="preserve"> y a determinados acuíferos del Sureste de España- y la ampliación de las redes de control </w:t>
      </w:r>
      <w:proofErr w:type="spellStart"/>
      <w:r w:rsidRPr="00E12C2C">
        <w:rPr>
          <w:rFonts w:ascii="Arial" w:hAnsi="Arial" w:cs="Arial"/>
          <w:sz w:val="22"/>
          <w:szCs w:val="22"/>
        </w:rPr>
        <w:t>piezométrico</w:t>
      </w:r>
      <w:proofErr w:type="spellEnd"/>
      <w:r w:rsidR="00382521" w:rsidRPr="00E12C2C">
        <w:rPr>
          <w:rFonts w:ascii="Arial" w:hAnsi="Arial" w:cs="Arial"/>
          <w:sz w:val="22"/>
          <w:szCs w:val="22"/>
        </w:rPr>
        <w:t>.</w:t>
      </w:r>
    </w:p>
    <w:p w:rsidR="00517824" w:rsidRDefault="00517824" w:rsidP="00CD7F8E">
      <w:pPr>
        <w:spacing w:before="120" w:after="120" w:line="360" w:lineRule="auto"/>
        <w:rPr>
          <w:rFonts w:ascii="Arial" w:hAnsi="Arial" w:cs="Arial"/>
          <w:b/>
          <w:sz w:val="22"/>
          <w:szCs w:val="22"/>
        </w:rPr>
      </w:pPr>
      <w:r w:rsidRPr="00E12C2C">
        <w:rPr>
          <w:rFonts w:ascii="Arial" w:hAnsi="Arial" w:cs="Arial"/>
          <w:b/>
          <w:sz w:val="22"/>
          <w:szCs w:val="22"/>
        </w:rPr>
        <w:t xml:space="preserve">5. </w:t>
      </w:r>
      <w:r w:rsidR="000844A9" w:rsidRPr="00E12C2C">
        <w:rPr>
          <w:rFonts w:ascii="Arial" w:hAnsi="Arial" w:cs="Arial"/>
          <w:b/>
          <w:sz w:val="22"/>
          <w:szCs w:val="22"/>
        </w:rPr>
        <w:t>COSTE DE LA INVERSIÓN Y DISTRIBUCIÓN ANUALIZADA</w:t>
      </w:r>
    </w:p>
    <w:p w:rsidR="00CD7F8E" w:rsidRPr="00CD7F8E" w:rsidRDefault="00865764" w:rsidP="00CD7F8E">
      <w:pPr>
        <w:spacing w:before="120"/>
        <w:jc w:val="right"/>
        <w:rPr>
          <w:rFonts w:ascii="Arial" w:hAnsi="Arial" w:cs="Arial"/>
          <w:sz w:val="18"/>
          <w:szCs w:val="18"/>
        </w:rPr>
      </w:pPr>
      <w:r>
        <w:rPr>
          <w:rFonts w:ascii="Arial" w:hAnsi="Arial" w:cs="Arial"/>
          <w:sz w:val="18"/>
          <w:szCs w:val="18"/>
        </w:rPr>
        <w:t>(M</w:t>
      </w:r>
      <w:bookmarkStart w:id="0" w:name="_GoBack"/>
      <w:bookmarkEnd w:id="0"/>
      <w:r w:rsidR="00CD7F8E" w:rsidRPr="00CD7F8E">
        <w:rPr>
          <w:rFonts w:ascii="Arial" w:hAnsi="Arial" w:cs="Arial"/>
          <w:sz w:val="18"/>
          <w:szCs w:val="18"/>
        </w:rPr>
        <w:t>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43"/>
        <w:gridCol w:w="829"/>
        <w:gridCol w:w="829"/>
        <w:gridCol w:w="829"/>
        <w:gridCol w:w="829"/>
        <w:gridCol w:w="829"/>
        <w:gridCol w:w="829"/>
        <w:gridCol w:w="829"/>
        <w:gridCol w:w="829"/>
      </w:tblGrid>
      <w:tr w:rsidR="00CD7F8E" w:rsidTr="00CD7F8E">
        <w:trPr>
          <w:trHeight w:val="337"/>
          <w:tblHeader/>
          <w:jc w:val="center"/>
        </w:trPr>
        <w:tc>
          <w:tcPr>
            <w:tcW w:w="2112" w:type="dxa"/>
            <w:vAlign w:val="center"/>
            <w:hideMark/>
          </w:tcPr>
          <w:p w:rsidR="00CD7F8E" w:rsidRDefault="00CD7F8E" w:rsidP="00CD7F8E">
            <w:pPr>
              <w:spacing w:before="120" w:after="120"/>
              <w:ind w:left="31"/>
              <w:rPr>
                <w:rFonts w:ascii="Arial" w:hAnsi="Arial" w:cs="Arial"/>
                <w:b/>
                <w:sz w:val="18"/>
                <w:szCs w:val="18"/>
              </w:rPr>
            </w:pPr>
            <w:r>
              <w:rPr>
                <w:rFonts w:ascii="Arial" w:hAnsi="Arial" w:cs="Arial"/>
                <w:b/>
                <w:sz w:val="18"/>
                <w:szCs w:val="18"/>
              </w:rPr>
              <w:t>PERIODIFICACIÓN</w:t>
            </w:r>
          </w:p>
        </w:tc>
        <w:tc>
          <w:tcPr>
            <w:tcW w:w="851" w:type="dxa"/>
            <w:vAlign w:val="center"/>
            <w:hideMark/>
          </w:tcPr>
          <w:p w:rsidR="00CD7F8E" w:rsidRDefault="00CD7F8E" w:rsidP="00CD7F8E">
            <w:pPr>
              <w:spacing w:before="120" w:after="120"/>
              <w:ind w:left="-83"/>
              <w:jc w:val="center"/>
              <w:rPr>
                <w:rFonts w:ascii="Arial" w:hAnsi="Arial" w:cs="Arial"/>
                <w:b/>
                <w:sz w:val="18"/>
                <w:szCs w:val="18"/>
              </w:rPr>
            </w:pPr>
            <w:r>
              <w:rPr>
                <w:rFonts w:ascii="Arial" w:hAnsi="Arial" w:cs="Arial"/>
                <w:b/>
                <w:sz w:val="18"/>
                <w:szCs w:val="18"/>
              </w:rPr>
              <w:t>2020</w:t>
            </w:r>
          </w:p>
        </w:tc>
        <w:tc>
          <w:tcPr>
            <w:tcW w:w="851" w:type="dxa"/>
            <w:vAlign w:val="center"/>
            <w:hideMark/>
          </w:tcPr>
          <w:p w:rsidR="00CD7F8E" w:rsidRDefault="00CD7F8E" w:rsidP="00CD7F8E">
            <w:pPr>
              <w:spacing w:before="120" w:after="120"/>
              <w:ind w:left="-83"/>
              <w:jc w:val="center"/>
              <w:rPr>
                <w:rFonts w:ascii="Arial" w:hAnsi="Arial" w:cs="Arial"/>
                <w:b/>
                <w:sz w:val="18"/>
                <w:szCs w:val="18"/>
              </w:rPr>
            </w:pPr>
            <w:r>
              <w:rPr>
                <w:rFonts w:ascii="Arial" w:hAnsi="Arial" w:cs="Arial"/>
                <w:b/>
                <w:sz w:val="18"/>
                <w:szCs w:val="18"/>
              </w:rPr>
              <w:t>2021</w:t>
            </w:r>
          </w:p>
        </w:tc>
        <w:tc>
          <w:tcPr>
            <w:tcW w:w="851" w:type="dxa"/>
            <w:vAlign w:val="center"/>
            <w:hideMark/>
          </w:tcPr>
          <w:p w:rsidR="00CD7F8E" w:rsidRDefault="00CD7F8E" w:rsidP="00CD7F8E">
            <w:pPr>
              <w:spacing w:before="120" w:after="120"/>
              <w:ind w:left="-83"/>
              <w:jc w:val="center"/>
              <w:rPr>
                <w:rFonts w:ascii="Arial" w:hAnsi="Arial" w:cs="Arial"/>
                <w:b/>
                <w:sz w:val="18"/>
                <w:szCs w:val="18"/>
              </w:rPr>
            </w:pPr>
            <w:r>
              <w:rPr>
                <w:rFonts w:ascii="Arial" w:hAnsi="Arial" w:cs="Arial"/>
                <w:b/>
                <w:sz w:val="18"/>
                <w:szCs w:val="18"/>
              </w:rPr>
              <w:t>2022</w:t>
            </w:r>
          </w:p>
        </w:tc>
        <w:tc>
          <w:tcPr>
            <w:tcW w:w="851" w:type="dxa"/>
            <w:vAlign w:val="center"/>
            <w:hideMark/>
          </w:tcPr>
          <w:p w:rsidR="00CD7F8E" w:rsidRDefault="00CD7F8E" w:rsidP="00CD7F8E">
            <w:pPr>
              <w:spacing w:before="120" w:after="120"/>
              <w:ind w:left="-83"/>
              <w:jc w:val="center"/>
              <w:rPr>
                <w:rFonts w:ascii="Arial" w:hAnsi="Arial" w:cs="Arial"/>
                <w:b/>
                <w:sz w:val="18"/>
                <w:szCs w:val="18"/>
              </w:rPr>
            </w:pPr>
            <w:r>
              <w:rPr>
                <w:rFonts w:ascii="Arial" w:hAnsi="Arial" w:cs="Arial"/>
                <w:b/>
                <w:sz w:val="18"/>
                <w:szCs w:val="18"/>
              </w:rPr>
              <w:t>2023</w:t>
            </w:r>
          </w:p>
        </w:tc>
        <w:tc>
          <w:tcPr>
            <w:tcW w:w="851" w:type="dxa"/>
            <w:vAlign w:val="center"/>
            <w:hideMark/>
          </w:tcPr>
          <w:p w:rsidR="00CD7F8E" w:rsidRDefault="00CD7F8E" w:rsidP="00CD7F8E">
            <w:pPr>
              <w:spacing w:before="120" w:after="120"/>
              <w:ind w:left="-83"/>
              <w:jc w:val="center"/>
              <w:rPr>
                <w:rFonts w:ascii="Arial" w:hAnsi="Arial" w:cs="Arial"/>
                <w:b/>
                <w:sz w:val="18"/>
                <w:szCs w:val="18"/>
              </w:rPr>
            </w:pPr>
            <w:r>
              <w:rPr>
                <w:rFonts w:ascii="Arial" w:hAnsi="Arial" w:cs="Arial"/>
                <w:b/>
                <w:sz w:val="18"/>
                <w:szCs w:val="18"/>
              </w:rPr>
              <w:t>2024</w:t>
            </w:r>
          </w:p>
        </w:tc>
        <w:tc>
          <w:tcPr>
            <w:tcW w:w="851" w:type="dxa"/>
            <w:vAlign w:val="center"/>
            <w:hideMark/>
          </w:tcPr>
          <w:p w:rsidR="00CD7F8E" w:rsidRDefault="00CD7F8E" w:rsidP="00CD7F8E">
            <w:pPr>
              <w:spacing w:before="120" w:after="120"/>
              <w:ind w:left="-83"/>
              <w:jc w:val="center"/>
              <w:rPr>
                <w:rFonts w:ascii="Arial" w:hAnsi="Arial" w:cs="Arial"/>
                <w:b/>
                <w:sz w:val="18"/>
                <w:szCs w:val="18"/>
              </w:rPr>
            </w:pPr>
            <w:r>
              <w:rPr>
                <w:rFonts w:ascii="Arial" w:hAnsi="Arial" w:cs="Arial"/>
                <w:b/>
                <w:sz w:val="18"/>
                <w:szCs w:val="18"/>
              </w:rPr>
              <w:t>2025</w:t>
            </w:r>
          </w:p>
        </w:tc>
        <w:tc>
          <w:tcPr>
            <w:tcW w:w="851" w:type="dxa"/>
            <w:vAlign w:val="center"/>
            <w:hideMark/>
          </w:tcPr>
          <w:p w:rsidR="00CD7F8E" w:rsidRDefault="00CD7F8E" w:rsidP="00CD7F8E">
            <w:pPr>
              <w:spacing w:before="120" w:after="120"/>
              <w:ind w:left="-83"/>
              <w:jc w:val="center"/>
              <w:rPr>
                <w:rFonts w:ascii="Arial" w:hAnsi="Arial" w:cs="Arial"/>
                <w:b/>
                <w:sz w:val="18"/>
                <w:szCs w:val="18"/>
              </w:rPr>
            </w:pPr>
            <w:r>
              <w:rPr>
                <w:rFonts w:ascii="Arial" w:hAnsi="Arial" w:cs="Arial"/>
                <w:b/>
                <w:sz w:val="18"/>
                <w:szCs w:val="18"/>
              </w:rPr>
              <w:t>2026</w:t>
            </w:r>
          </w:p>
        </w:tc>
        <w:tc>
          <w:tcPr>
            <w:tcW w:w="851" w:type="dxa"/>
            <w:vAlign w:val="center"/>
            <w:hideMark/>
          </w:tcPr>
          <w:p w:rsidR="00CD7F8E" w:rsidRDefault="00CD7F8E" w:rsidP="00CD7F8E">
            <w:pPr>
              <w:spacing w:before="120" w:after="120"/>
              <w:ind w:left="-83"/>
              <w:jc w:val="center"/>
              <w:rPr>
                <w:rFonts w:ascii="Arial" w:hAnsi="Arial" w:cs="Arial"/>
                <w:b/>
                <w:sz w:val="18"/>
                <w:szCs w:val="18"/>
              </w:rPr>
            </w:pPr>
            <w:r>
              <w:rPr>
                <w:rFonts w:ascii="Arial" w:hAnsi="Arial" w:cs="Arial"/>
                <w:b/>
                <w:sz w:val="18"/>
                <w:szCs w:val="18"/>
              </w:rPr>
              <w:t>Total</w:t>
            </w:r>
          </w:p>
        </w:tc>
      </w:tr>
      <w:tr w:rsidR="00CD7F8E" w:rsidTr="00CD7F8E">
        <w:trPr>
          <w:trHeight w:hRule="exact" w:val="342"/>
          <w:jc w:val="center"/>
        </w:trPr>
        <w:tc>
          <w:tcPr>
            <w:tcW w:w="2112" w:type="dxa"/>
            <w:vAlign w:val="center"/>
            <w:hideMark/>
          </w:tcPr>
          <w:p w:rsidR="00CD7F8E" w:rsidRDefault="00CD7F8E" w:rsidP="00CD7F8E">
            <w:pPr>
              <w:spacing w:before="60" w:after="60"/>
              <w:ind w:left="31"/>
              <w:rPr>
                <w:rFonts w:ascii="Arial" w:hAnsi="Arial" w:cs="Arial"/>
                <w:sz w:val="18"/>
                <w:szCs w:val="18"/>
              </w:rPr>
            </w:pPr>
            <w:r>
              <w:rPr>
                <w:rFonts w:ascii="Arial" w:hAnsi="Arial" w:cs="Arial"/>
                <w:sz w:val="18"/>
                <w:szCs w:val="18"/>
              </w:rPr>
              <w:t>Coste del Mecanismo</w:t>
            </w:r>
          </w:p>
        </w:tc>
        <w:tc>
          <w:tcPr>
            <w:tcW w:w="851" w:type="dxa"/>
            <w:vAlign w:val="center"/>
          </w:tcPr>
          <w:p w:rsidR="00CD7F8E" w:rsidRPr="00CD7F8E" w:rsidRDefault="00CD7F8E" w:rsidP="00CD7F8E">
            <w:pPr>
              <w:spacing w:before="60" w:after="60"/>
              <w:ind w:left="-83"/>
              <w:jc w:val="right"/>
              <w:rPr>
                <w:rFonts w:ascii="Arial" w:hAnsi="Arial" w:cs="Arial"/>
                <w:sz w:val="18"/>
                <w:szCs w:val="18"/>
              </w:rPr>
            </w:pP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r w:rsidRPr="00CD7F8E">
              <w:rPr>
                <w:rFonts w:ascii="Arial" w:hAnsi="Arial" w:cs="Arial"/>
                <w:noProof/>
                <w:sz w:val="18"/>
                <w:szCs w:val="18"/>
              </w:rPr>
              <w:t>77.000</w:t>
            </w: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r>
              <w:rPr>
                <w:rFonts w:ascii="Arial" w:hAnsi="Arial" w:cs="Arial"/>
                <w:noProof/>
                <w:sz w:val="18"/>
                <w:szCs w:val="18"/>
              </w:rPr>
              <w:t>344.609</w:t>
            </w: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r>
              <w:rPr>
                <w:rFonts w:ascii="Arial" w:hAnsi="Arial" w:cs="Arial"/>
                <w:noProof/>
                <w:sz w:val="18"/>
                <w:szCs w:val="18"/>
              </w:rPr>
              <w:t>378.000</w:t>
            </w: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r>
              <w:rPr>
                <w:rFonts w:ascii="Arial" w:hAnsi="Arial" w:cs="Arial"/>
                <w:noProof/>
                <w:sz w:val="18"/>
                <w:szCs w:val="18"/>
              </w:rPr>
              <w:t>799.609</w:t>
            </w:r>
          </w:p>
        </w:tc>
      </w:tr>
      <w:tr w:rsidR="00CD7F8E" w:rsidTr="00CD7F8E">
        <w:trPr>
          <w:trHeight w:hRule="exact" w:val="340"/>
          <w:jc w:val="center"/>
        </w:trPr>
        <w:tc>
          <w:tcPr>
            <w:tcW w:w="2112" w:type="dxa"/>
            <w:vAlign w:val="center"/>
            <w:hideMark/>
          </w:tcPr>
          <w:p w:rsidR="00CD7F8E" w:rsidRDefault="00CD7F8E" w:rsidP="00CD7F8E">
            <w:pPr>
              <w:spacing w:before="60" w:after="60"/>
              <w:ind w:left="31"/>
              <w:rPr>
                <w:rFonts w:ascii="Arial" w:hAnsi="Arial" w:cs="Arial"/>
                <w:sz w:val="18"/>
                <w:szCs w:val="18"/>
              </w:rPr>
            </w:pPr>
            <w:r>
              <w:rPr>
                <w:rFonts w:ascii="Arial" w:hAnsi="Arial" w:cs="Arial"/>
                <w:sz w:val="18"/>
                <w:szCs w:val="18"/>
              </w:rPr>
              <w:t>Otra financiación</w:t>
            </w: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p>
        </w:tc>
      </w:tr>
      <w:tr w:rsidR="00CD7F8E" w:rsidTr="00CD7F8E">
        <w:trPr>
          <w:trHeight w:hRule="exact" w:val="340"/>
          <w:jc w:val="center"/>
        </w:trPr>
        <w:tc>
          <w:tcPr>
            <w:tcW w:w="2112" w:type="dxa"/>
            <w:vAlign w:val="center"/>
            <w:hideMark/>
          </w:tcPr>
          <w:p w:rsidR="00CD7F8E" w:rsidRDefault="00CD7F8E" w:rsidP="00CD7F8E">
            <w:pPr>
              <w:spacing w:before="60" w:after="60"/>
              <w:ind w:left="31"/>
              <w:rPr>
                <w:rFonts w:ascii="Arial" w:hAnsi="Arial" w:cs="Arial"/>
                <w:b/>
                <w:sz w:val="18"/>
                <w:szCs w:val="18"/>
              </w:rPr>
            </w:pPr>
            <w:r>
              <w:rPr>
                <w:rFonts w:ascii="Arial" w:hAnsi="Arial" w:cs="Arial"/>
                <w:b/>
                <w:sz w:val="18"/>
                <w:szCs w:val="18"/>
              </w:rPr>
              <w:t>Total</w:t>
            </w: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r>
              <w:rPr>
                <w:rFonts w:ascii="Arial" w:hAnsi="Arial" w:cs="Arial"/>
                <w:noProof/>
                <w:sz w:val="18"/>
                <w:szCs w:val="18"/>
              </w:rPr>
              <w:t>77.000</w:t>
            </w: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r>
              <w:rPr>
                <w:rFonts w:ascii="Arial" w:hAnsi="Arial" w:cs="Arial"/>
                <w:noProof/>
                <w:sz w:val="18"/>
                <w:szCs w:val="18"/>
              </w:rPr>
              <w:t>344.609</w:t>
            </w: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r>
              <w:rPr>
                <w:rFonts w:ascii="Arial" w:hAnsi="Arial" w:cs="Arial"/>
                <w:noProof/>
                <w:sz w:val="18"/>
                <w:szCs w:val="18"/>
              </w:rPr>
              <w:t>378.000</w:t>
            </w: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p>
        </w:tc>
        <w:tc>
          <w:tcPr>
            <w:tcW w:w="851" w:type="dxa"/>
            <w:vAlign w:val="center"/>
          </w:tcPr>
          <w:p w:rsidR="00CD7F8E" w:rsidRPr="00CD7F8E" w:rsidRDefault="00CD7F8E" w:rsidP="00CD7F8E">
            <w:pPr>
              <w:spacing w:before="60" w:after="60"/>
              <w:ind w:left="-83"/>
              <w:jc w:val="right"/>
              <w:rPr>
                <w:rFonts w:ascii="Arial" w:hAnsi="Arial" w:cs="Arial"/>
                <w:noProof/>
                <w:sz w:val="18"/>
                <w:szCs w:val="18"/>
              </w:rPr>
            </w:pPr>
            <w:r>
              <w:rPr>
                <w:rFonts w:ascii="Arial" w:hAnsi="Arial" w:cs="Arial"/>
                <w:noProof/>
                <w:sz w:val="18"/>
                <w:szCs w:val="18"/>
              </w:rPr>
              <w:t>799.609</w:t>
            </w:r>
          </w:p>
        </w:tc>
      </w:tr>
    </w:tbl>
    <w:p w:rsidR="00D559DC" w:rsidRPr="00E12C2C" w:rsidRDefault="00517824" w:rsidP="00C507E2">
      <w:pPr>
        <w:spacing w:before="240" w:after="120" w:line="360" w:lineRule="auto"/>
        <w:rPr>
          <w:rFonts w:ascii="Arial" w:hAnsi="Arial" w:cs="Arial"/>
          <w:b/>
          <w:sz w:val="22"/>
          <w:szCs w:val="22"/>
        </w:rPr>
      </w:pPr>
      <w:r w:rsidRPr="00E12C2C">
        <w:rPr>
          <w:rFonts w:ascii="Arial" w:hAnsi="Arial" w:cs="Arial"/>
          <w:b/>
          <w:sz w:val="22"/>
          <w:szCs w:val="22"/>
        </w:rPr>
        <w:t xml:space="preserve">6. </w:t>
      </w:r>
      <w:r w:rsidR="000844A9" w:rsidRPr="00E12C2C">
        <w:rPr>
          <w:rFonts w:ascii="Arial" w:hAnsi="Arial" w:cs="Arial"/>
          <w:b/>
          <w:sz w:val="22"/>
          <w:szCs w:val="22"/>
        </w:rPr>
        <w:t>HITOS Y OBJETIVOS DE LA INVERSIÓN</w:t>
      </w:r>
    </w:p>
    <w:p w:rsidR="00D559DC" w:rsidRPr="006806ED" w:rsidRDefault="00D559DC" w:rsidP="00376B3E">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6806ED">
        <w:rPr>
          <w:rFonts w:ascii="Arial" w:hAnsi="Arial" w:cs="Arial"/>
          <w:sz w:val="22"/>
          <w:szCs w:val="22"/>
        </w:rPr>
        <w:t xml:space="preserve">Hito 77 (del Council </w:t>
      </w:r>
      <w:proofErr w:type="spellStart"/>
      <w:r w:rsidRPr="006806ED">
        <w:rPr>
          <w:rFonts w:ascii="Arial" w:hAnsi="Arial" w:cs="Arial"/>
          <w:sz w:val="22"/>
          <w:szCs w:val="22"/>
        </w:rPr>
        <w:t>Implementing</w:t>
      </w:r>
      <w:proofErr w:type="spellEnd"/>
      <w:r w:rsidRPr="006806ED">
        <w:rPr>
          <w:rFonts w:ascii="Arial" w:hAnsi="Arial" w:cs="Arial"/>
          <w:sz w:val="22"/>
          <w:szCs w:val="22"/>
        </w:rPr>
        <w:t xml:space="preserve"> </w:t>
      </w:r>
      <w:proofErr w:type="spellStart"/>
      <w:r w:rsidRPr="006806ED">
        <w:rPr>
          <w:rFonts w:ascii="Arial" w:hAnsi="Arial" w:cs="Arial"/>
          <w:sz w:val="22"/>
          <w:szCs w:val="22"/>
        </w:rPr>
        <w:t>Decision</w:t>
      </w:r>
      <w:proofErr w:type="spellEnd"/>
      <w:r w:rsidRPr="006806ED">
        <w:rPr>
          <w:rFonts w:ascii="Arial" w:hAnsi="Arial" w:cs="Arial"/>
          <w:sz w:val="22"/>
          <w:szCs w:val="22"/>
        </w:rPr>
        <w:t>, CID): “Restauración de las protecciones de cauces y riberas contra los riesgos de inundación”, al menos 200 km de cauces y riberas restaurados y al menos 40.000 habitantes protegidos contra los riesgos de inundación, a alcanzar en Q4 2022.</w:t>
      </w:r>
    </w:p>
    <w:p w:rsidR="008620A4" w:rsidRPr="006806ED" w:rsidRDefault="00D559DC" w:rsidP="00376B3E">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6806ED">
        <w:rPr>
          <w:rFonts w:ascii="Arial" w:hAnsi="Arial" w:cs="Arial"/>
          <w:sz w:val="22"/>
          <w:szCs w:val="22"/>
        </w:rPr>
        <w:t xml:space="preserve">Objetivo 78 (del Council </w:t>
      </w:r>
      <w:proofErr w:type="spellStart"/>
      <w:r w:rsidRPr="006806ED">
        <w:rPr>
          <w:rFonts w:ascii="Arial" w:hAnsi="Arial" w:cs="Arial"/>
          <w:sz w:val="22"/>
          <w:szCs w:val="22"/>
        </w:rPr>
        <w:t>Implementing</w:t>
      </w:r>
      <w:proofErr w:type="spellEnd"/>
      <w:r w:rsidRPr="006806ED">
        <w:rPr>
          <w:rFonts w:ascii="Arial" w:hAnsi="Arial" w:cs="Arial"/>
          <w:sz w:val="22"/>
          <w:szCs w:val="22"/>
        </w:rPr>
        <w:t xml:space="preserve"> </w:t>
      </w:r>
      <w:proofErr w:type="spellStart"/>
      <w:r w:rsidRPr="006806ED">
        <w:rPr>
          <w:rFonts w:ascii="Arial" w:hAnsi="Arial" w:cs="Arial"/>
          <w:sz w:val="22"/>
          <w:szCs w:val="22"/>
        </w:rPr>
        <w:t>Decision</w:t>
      </w:r>
      <w:proofErr w:type="spellEnd"/>
      <w:r w:rsidRPr="006806ED">
        <w:rPr>
          <w:rFonts w:ascii="Arial" w:hAnsi="Arial" w:cs="Arial"/>
          <w:sz w:val="22"/>
          <w:szCs w:val="22"/>
        </w:rPr>
        <w:t>, CID): “Reducción del volumen de agua extraída de acuíferos”, pasar de 510 Hm3 anuales de extracción de agua en determinados acuíferos a 470 Hm3 anuales, en Q4 2023.</w:t>
      </w:r>
    </w:p>
    <w:sectPr w:rsidR="008620A4" w:rsidRPr="006806ED" w:rsidSect="00CD7F8E">
      <w:pgSz w:w="11907" w:h="16840" w:code="9"/>
      <w:pgMar w:top="1985" w:right="1134" w:bottom="1134" w:left="1985"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210E1"/>
    <w:multiLevelType w:val="hybridMultilevel"/>
    <w:tmpl w:val="B25C036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1C76426"/>
    <w:multiLevelType w:val="hybridMultilevel"/>
    <w:tmpl w:val="F356C09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5951BA2"/>
    <w:multiLevelType w:val="hybridMultilevel"/>
    <w:tmpl w:val="8A9630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844A9"/>
    <w:rsid w:val="000A1311"/>
    <w:rsid w:val="000C68A4"/>
    <w:rsid w:val="000F3FBB"/>
    <w:rsid w:val="001A5F87"/>
    <w:rsid w:val="001B34B9"/>
    <w:rsid w:val="002F0C59"/>
    <w:rsid w:val="003154A2"/>
    <w:rsid w:val="003208C4"/>
    <w:rsid w:val="00343745"/>
    <w:rsid w:val="00376B3E"/>
    <w:rsid w:val="00382521"/>
    <w:rsid w:val="00382F6E"/>
    <w:rsid w:val="003A7E9B"/>
    <w:rsid w:val="003D56D8"/>
    <w:rsid w:val="003D67AF"/>
    <w:rsid w:val="0046397C"/>
    <w:rsid w:val="004A1905"/>
    <w:rsid w:val="004F4EFC"/>
    <w:rsid w:val="00517824"/>
    <w:rsid w:val="0055291D"/>
    <w:rsid w:val="00564761"/>
    <w:rsid w:val="005B477A"/>
    <w:rsid w:val="005C4BF4"/>
    <w:rsid w:val="006806ED"/>
    <w:rsid w:val="006F018F"/>
    <w:rsid w:val="00726CF9"/>
    <w:rsid w:val="007B6373"/>
    <w:rsid w:val="007E37FC"/>
    <w:rsid w:val="007F3B1F"/>
    <w:rsid w:val="008076C5"/>
    <w:rsid w:val="008476C0"/>
    <w:rsid w:val="008620A4"/>
    <w:rsid w:val="00865764"/>
    <w:rsid w:val="008B3CA0"/>
    <w:rsid w:val="008B6C42"/>
    <w:rsid w:val="008C19AA"/>
    <w:rsid w:val="008D6462"/>
    <w:rsid w:val="008F0C79"/>
    <w:rsid w:val="0093453B"/>
    <w:rsid w:val="00952F88"/>
    <w:rsid w:val="00991697"/>
    <w:rsid w:val="009A36D1"/>
    <w:rsid w:val="009A64D7"/>
    <w:rsid w:val="009A7074"/>
    <w:rsid w:val="00A06941"/>
    <w:rsid w:val="00A32DF7"/>
    <w:rsid w:val="00A44DEA"/>
    <w:rsid w:val="00A9503D"/>
    <w:rsid w:val="00AA1BD1"/>
    <w:rsid w:val="00AE140D"/>
    <w:rsid w:val="00AE318F"/>
    <w:rsid w:val="00B16ECE"/>
    <w:rsid w:val="00B30BB6"/>
    <w:rsid w:val="00B6769D"/>
    <w:rsid w:val="00B80D92"/>
    <w:rsid w:val="00BB64BC"/>
    <w:rsid w:val="00BE5B5A"/>
    <w:rsid w:val="00C507E2"/>
    <w:rsid w:val="00C87CB2"/>
    <w:rsid w:val="00CA5DBC"/>
    <w:rsid w:val="00CB75ED"/>
    <w:rsid w:val="00CD7F8E"/>
    <w:rsid w:val="00D46D8D"/>
    <w:rsid w:val="00D559DC"/>
    <w:rsid w:val="00D74D71"/>
    <w:rsid w:val="00E12C2C"/>
    <w:rsid w:val="00ED092E"/>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81357"/>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392050821">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308514932">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51FC3-160B-4360-A782-E44C04E2E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878</Words>
  <Characters>4943</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Angulo Santos, Félix</cp:lastModifiedBy>
  <cp:revision>15</cp:revision>
  <cp:lastPrinted>2021-06-09T11:44:00Z</cp:lastPrinted>
  <dcterms:created xsi:type="dcterms:W3CDTF">2021-09-22T15:11:00Z</dcterms:created>
  <dcterms:modified xsi:type="dcterms:W3CDTF">2021-10-19T21:20:00Z</dcterms:modified>
</cp:coreProperties>
</file>